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2" w:rsidRDefault="000E009A">
      <w:r>
        <w:fldChar w:fldCharType="begin"/>
      </w:r>
      <w:r>
        <w:instrText xml:space="preserve"> HYPERLINK "</w:instrText>
      </w:r>
      <w:r w:rsidRPr="000E009A">
        <w:instrText>https://www.uvzsr.sk/index.php?option=com_content&amp;view=article&amp;id=4981:vyhlaka-k-organizacii-hromadnych-podujati&amp;catid=56:tlaove-spravy&amp;Itemid=62</w:instrText>
      </w:r>
      <w:r>
        <w:instrText xml:space="preserve">" </w:instrText>
      </w:r>
      <w:r>
        <w:fldChar w:fldCharType="separate"/>
      </w:r>
      <w:r w:rsidRPr="000341D0">
        <w:rPr>
          <w:rStyle w:val="Hypertextovprepojenie"/>
        </w:rPr>
        <w:t>https://www.uvzsr.sk/index.php?option=com_content&amp;view=article&amp;id=4981:vyhlaka-k-organizacii-hromadnych-podujati&amp;catid=56:tlaove-spravy&amp;Itemid=62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270"/>
        <w:gridCol w:w="285"/>
      </w:tblGrid>
      <w:tr w:rsidR="000E009A" w:rsidTr="000E009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E009A" w:rsidRDefault="000E009A">
            <w:pPr>
              <w:rPr>
                <w:sz w:val="24"/>
                <w:szCs w:val="24"/>
              </w:rPr>
            </w:pPr>
            <w:r>
              <w:t xml:space="preserve">Vyhláška k organizácii hromadných podujatí - 2/2022 V. v. SR </w:t>
            </w:r>
          </w:p>
        </w:tc>
        <w:tc>
          <w:tcPr>
            <w:tcW w:w="5000" w:type="pct"/>
            <w:vAlign w:val="center"/>
            <w:hideMark/>
          </w:tcPr>
          <w:p w:rsidR="000E009A" w:rsidRDefault="000E009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8" name="Obrázok 8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E009A" w:rsidRDefault="000E009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7" name="Obrázok 7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09A" w:rsidRDefault="000E009A" w:rsidP="000E009A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009A" w:rsidTr="000E0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09A" w:rsidRDefault="000E009A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textovprepojenie"/>
                </w:rPr>
                <w:t xml:space="preserve">Tlačové správy </w:t>
              </w:r>
            </w:hyperlink>
          </w:p>
        </w:tc>
      </w:tr>
      <w:tr w:rsidR="000E009A" w:rsidTr="000E009A">
        <w:trPr>
          <w:tblCellSpacing w:w="15" w:type="dxa"/>
        </w:trPr>
        <w:tc>
          <w:tcPr>
            <w:tcW w:w="0" w:type="auto"/>
            <w:hideMark/>
          </w:tcPr>
          <w:p w:rsidR="000E009A" w:rsidRPr="000E009A" w:rsidRDefault="000E009A">
            <w:pPr>
              <w:rPr>
                <w:b/>
                <w:sz w:val="28"/>
                <w:szCs w:val="28"/>
              </w:rPr>
            </w:pPr>
            <w:r w:rsidRPr="000E009A">
              <w:rPr>
                <w:b/>
                <w:color w:val="FF0000"/>
                <w:sz w:val="28"/>
                <w:szCs w:val="28"/>
              </w:rPr>
              <w:t xml:space="preserve">Utorok, 11. január 2022 21:11 </w:t>
            </w:r>
          </w:p>
        </w:tc>
      </w:tr>
      <w:tr w:rsidR="000E009A" w:rsidTr="000E009A">
        <w:trPr>
          <w:tblCellSpacing w:w="15" w:type="dxa"/>
        </w:trPr>
        <w:tc>
          <w:tcPr>
            <w:tcW w:w="0" w:type="auto"/>
            <w:hideMark/>
          </w:tcPr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Účinnosť vyhlášky: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12.1.2022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v plnom znení tu:</w:t>
              </w:r>
            </w:hyperlink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Hromadné podujatia sa po novom delia do troch skupín podľa rizikovosti. V závislosti od rizikovosti sú následne určené maximálne limity účastníkov.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 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Nízko rizikové podujatia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účastníci majú prekryté horné dýchacie cesty respirátorom,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platí zákaz konzumácie pokrmov a nápojov,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povinné sedenie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hromadné podujatie prebieha bez spevu a bez povzbudzovania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      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Podmienky: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režim OP,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najviac 50 % kapacity priestoru alebo maximálne 100 osôb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Príklad: medzi nízkorizikové podujatia možno zaradiť kino bez konzumácie jedál a nápojov v sále, bohoslužby bez spevu alebo divadelné predstavenie bez občerstvenia.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 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Stredne rizikové podujatia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účastníci hromadného podujatia majú prekryté horné dýchacie cesty respirátorom,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na hromadnom podujatí je fixné sedenie alebo státie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  <w:ind w:firstLine="7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Podmienky: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režim OP,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najviac 25 % kapacity priestoru alebo maximálne 100 osôb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Príklad: medzi stredne rizikové podujatia možno zaradiť kino s konzumáciou jedál v sále, športové podujatia s divákmi, bohoslužby so spevom a podobne.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 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Vysoko rizikové podujatia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hromadné podujatie v prevádzke verejného stravovania, alebo 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iné hromadné podujatie, ktoré nespadá do nízko alebo stredne rizikových podujatí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  <w:ind w:firstLine="7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Podmienky: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režim OP,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maximálne 20 osôb,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povinný zoznam účastníkov s uvedenými telefonickými alebo emailovými kontaktmi pre prípad epidemiologického vyšetrovania - organizátor je povinný zoznam uchovávať dva týždne po ukončení podujatia a potom zoznam zničiť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Príklad: medzi vysoko rizikové hromadné podujatia možno zaradiť oslavy, večierky, svadby, kary, diskotéky v prevádzkach a podobne.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Všeobecné opatrenia pre hromadné podujatia (paragraf 3 vyhlášky)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vyhradenie miesta konania podujatia a vyznačenie vstupu a výstupu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umožniť vstup len s prekrytými hornými dýchacími cestami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organizátor musí byť v každej chvíli schopný preukázať počet účastníkov podujatia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zaistiť pri vstupe dezinfekciu rúk návštevníkov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často vetrať, vykonávať častú dezinfekciu priestorov, hlavne dotykových plôch, kľučiek, podláh v interiéri a predmetov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hygienické zariadenia vybaviť tekutým mydlom a papierovými utierkami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zabezpečiť dvojmetrové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rozostupy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účastníkov, to neplatí napríklad pre osoby zo spoločnej domácnosti, partnerov, osoby vykonávajúce športovú činnosť, osoby na HP v režime OP, osoby usadené v hľadisku podujatia, umelcov vykonávajúcich umeleckú činnosť a pod.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zabezpečiť vyvesenie oznamov o povolenom počte účastníkov, o potrebe prekrytia horných dýchacích ciest a ďalšie oznamy - podrobnejšie podmienky sú uvedené vo vyhláške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tam, kde je to možné, zabezpečiť sedenie v každom druhom rade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 xml:space="preserve">Osobitné podmienky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(za dodržania všeobecných podmienok, ak nie je stanovené inak)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A)  Bohoslužby, sobášne obrady a obrady krstu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dezinfikovať použité predmety slúžiace účelom obradu,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v prípade kontaktu rozdávajúceho s ústami veriaceho, si musí rozdávajúci zakaždým vydezinfikovať ruky; pri prijímaní „pod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obojím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použiť pri každom prijímajúcom vždy novú lyžičku, 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zakazuje sa používať obrady pitia z jednej nádoby viac ako jednou osobou,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v priestoroch, kde sa vykonávajú obrady, je organizátor povinný odstrániť nádoby s vodou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zároveň platia aj všeobecné podmienky pre organizáciu HP, ktoré je možné na tieto typy podujatí aplikovať (vymenované vyššie)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Sobášne obrady vrátane civilných a obrady krstu môžu byť v režime OTP bez kapacitných obmedzení. Pohrebné obrady sú v režime základ a nevzťahujú sa na ne kapacitné obmedzenia.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 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B) 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Zasadnutia a schôdze verejných orgánov a ich poradných orgánov; zasadnutia, schôdze a iné podujatia uskutočňované na základe zákona a voľby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nie je stanovený režim a neplatí povinnosť uchovávať kontakty zúčastnených osôb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C)  Profesionálne športové súťaže a tréningy (vymenované vo vyhláške v paragrafe 2, odsek h)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Povinné testovanie hráčov a členov organizačného tímu, ktorí nie sú očkovaní alebo neprekonali COVID-19 (podrobnosti vo vyhláške v paragrafe 6)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Pre športovcov a organizátorov teda neplatí výhradný režim OP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D)  Ostatné športové súťaže a tréningy pre osoby nad 18 rokov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režim OP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najviac 100 osôb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E)  Hromadné podujatia pre deti a mládež do 18 rokov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najviac 100 osôb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režim OTP: teda možná účasť aj osôb s negatívnym výsledkom RT-PCR alebo LAMP testu nie starším ako 72 hodín od odberu alebo antigénového testu nie starším ako 48 hodín od odberu. U detí do 18 rokov je akceptovaný aj negatívny výsledok testu vykonaný v domácom prostredí pre účely výučby na školách.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Príklad: medzi hromadné podujatia pre osoby do 18 rokov možno zaradiť tréningy pre deti, kultúrne predstavenia určené pre deti a podobne.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F)  Kultúrne podujatia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zamedziť fyzickej kontaktnej interaktívnej práci s publikom,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vytvoriť zóny pre jednotlivé umelecké súbory tak, aby dochádzalo k minimálnej interakcii a k minimálnemu stretávaniu sa umelcov z jednotlivých súborov medzi sebou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G) Činnosť karanténneho tréningového centra pre vrcholový šport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Len na základe súhlasu ministerstiev zdravotníctva a školstva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!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Regionálne úrady verejného zdravotníctva môžu v súvislosti s povolenými hromadnými podujatiami v rámci svojho územného obvodu z dôvodu epidemiologickej situácie nariadiť prísnejšie opatrenia. 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Na účely vyhlášky sa pod pojmom OP, resp. OTP, rozumie: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 </w:t>
            </w:r>
            <w:bookmarkStart w:id="0" w:name="_GoBack"/>
            <w:bookmarkEnd w:id="0"/>
          </w:p>
          <w:p w:rsidR="000E009A" w:rsidRDefault="000E009A" w:rsidP="000E009A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Očkovaní (O):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osoby najmenej 14 dní a najviac 1 rok po aplikácii druhej dávky očkovacej látky proti ochoreniu COVID-19 s dvojdávkovou schémou 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deti do 12 rokov a dvoch mesiacov veku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osoba, ktorá má kontraindikáciu očkovania proti ochoreniu COVID-19 podľa  odborného usmernenia Ministerstva zdravotníctva SR a zároveň je schopná sa preukázať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108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certifikátom o výnimke z očkovania podľa odborného usmernenia MZ SR, ktorý je v prílohe vyhlášky a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108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negatívnym výsledkom RT-PCR alebo LAMP testu na ochorenie COVID-19 nie starším ako 72 hodín od odberu alebo antigénového testu nie starším ako 48 hodín od odberu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E009A" w:rsidRDefault="000E009A" w:rsidP="000E009A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Testovaní (T):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Negatívny výsledok testu na ochorenie COVID-19: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RT-PCR alebo LAMP test nie starším ako 72 hodín od odberu alebo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antigénový test nie starší ako 48 hodín od odberu - u detí do 18 rokov sa za antigénový test považuje test vykonaný v domácom prostredí v rámci výučby na školách</w:t>
            </w:r>
            <w:r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 prekonaní (P):</w:t>
            </w:r>
          </w:p>
          <w:p w:rsidR="000E009A" w:rsidRDefault="000E009A" w:rsidP="000E009A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:rsidR="000E009A" w:rsidRDefault="000E009A" w:rsidP="000E009A">
            <w:pPr>
              <w:pStyle w:val="Normlnywebov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0E009A" w:rsidRDefault="000E009A"/>
    <w:sectPr w:rsidR="000E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D5D"/>
    <w:multiLevelType w:val="multilevel"/>
    <w:tmpl w:val="4F6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0730"/>
    <w:multiLevelType w:val="multilevel"/>
    <w:tmpl w:val="E0B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50358"/>
    <w:multiLevelType w:val="multilevel"/>
    <w:tmpl w:val="FC2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45"/>
    <w:multiLevelType w:val="multilevel"/>
    <w:tmpl w:val="2C5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C1A37"/>
    <w:multiLevelType w:val="multilevel"/>
    <w:tmpl w:val="DD0A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67649"/>
    <w:multiLevelType w:val="multilevel"/>
    <w:tmpl w:val="46A0D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441B5"/>
    <w:multiLevelType w:val="multilevel"/>
    <w:tmpl w:val="F12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C45A1"/>
    <w:multiLevelType w:val="multilevel"/>
    <w:tmpl w:val="FA7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F7CCF"/>
    <w:multiLevelType w:val="multilevel"/>
    <w:tmpl w:val="D48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25338"/>
    <w:multiLevelType w:val="multilevel"/>
    <w:tmpl w:val="83EA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C3A56"/>
    <w:multiLevelType w:val="multilevel"/>
    <w:tmpl w:val="81C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05C95"/>
    <w:multiLevelType w:val="multilevel"/>
    <w:tmpl w:val="23503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28D4EDD"/>
    <w:multiLevelType w:val="multilevel"/>
    <w:tmpl w:val="9A424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8790ECE"/>
    <w:multiLevelType w:val="multilevel"/>
    <w:tmpl w:val="735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25C71"/>
    <w:multiLevelType w:val="multilevel"/>
    <w:tmpl w:val="5566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638C3"/>
    <w:multiLevelType w:val="multilevel"/>
    <w:tmpl w:val="7A9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24DA8"/>
    <w:multiLevelType w:val="multilevel"/>
    <w:tmpl w:val="BF7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86FEF"/>
    <w:multiLevelType w:val="multilevel"/>
    <w:tmpl w:val="D7C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D76CF"/>
    <w:multiLevelType w:val="multilevel"/>
    <w:tmpl w:val="4E0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76E3E"/>
    <w:multiLevelType w:val="multilevel"/>
    <w:tmpl w:val="FE2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1633E"/>
    <w:multiLevelType w:val="multilevel"/>
    <w:tmpl w:val="39DC3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15"/>
  </w:num>
  <w:num w:numId="10">
    <w:abstractNumId w:val="14"/>
  </w:num>
  <w:num w:numId="11">
    <w:abstractNumId w:val="17"/>
  </w:num>
  <w:num w:numId="12">
    <w:abstractNumId w:val="16"/>
  </w:num>
  <w:num w:numId="13">
    <w:abstractNumId w:val="8"/>
  </w:num>
  <w:num w:numId="14">
    <w:abstractNumId w:val="4"/>
  </w:num>
  <w:num w:numId="15">
    <w:abstractNumId w:val="19"/>
  </w:num>
  <w:num w:numId="16">
    <w:abstractNumId w:val="11"/>
  </w:num>
  <w:num w:numId="17">
    <w:abstractNumId w:val="5"/>
  </w:num>
  <w:num w:numId="18">
    <w:abstractNumId w:val="6"/>
  </w:num>
  <w:num w:numId="19">
    <w:abstractNumId w:val="2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9A"/>
    <w:rsid w:val="000E009A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009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009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E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dd729a99a603f5d78cbbf751915de3a7efa6c7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4981%3Avyhlaka-k-organizacii-hromadnych-podujati&amp;tmpl=component&amp;print=1&amp;layout=default&amp;page=&amp;option=com_content&amp;Itemid=62" TargetMode="External"/><Relationship Id="rId11" Type="http://schemas.openxmlformats.org/officeDocument/2006/relationships/hyperlink" Target="https://www.uvzsr.sk/docs/info/ut/vyhlaska_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Notebook</dc:creator>
  <cp:lastModifiedBy>CO Notebook</cp:lastModifiedBy>
  <cp:revision>1</cp:revision>
  <dcterms:created xsi:type="dcterms:W3CDTF">2022-01-14T13:25:00Z</dcterms:created>
  <dcterms:modified xsi:type="dcterms:W3CDTF">2022-01-14T13:33:00Z</dcterms:modified>
</cp:coreProperties>
</file>